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006"/>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2316"/>
        <w:gridCol w:w="1620"/>
        <w:gridCol w:w="2448"/>
      </w:tblGrid>
      <w:tr w:rsidR="007F46F1" w:rsidRPr="00C57515" w14:paraId="28CB4AC1" w14:textId="77777777" w:rsidTr="007F46F1">
        <w:trPr>
          <w:cantSplit/>
        </w:trPr>
        <w:tc>
          <w:tcPr>
            <w:tcW w:w="3192" w:type="dxa"/>
            <w:vMerge w:val="restart"/>
            <w:tcBorders>
              <w:right w:val="single" w:sz="4" w:space="0" w:color="auto"/>
            </w:tcBorders>
          </w:tcPr>
          <w:p w14:paraId="4F1E96FE" w14:textId="77777777" w:rsidR="007F46F1" w:rsidRPr="003052B9" w:rsidRDefault="007F46F1" w:rsidP="007F46F1">
            <w:pPr>
              <w:spacing w:before="560"/>
            </w:pPr>
            <w:r w:rsidRPr="00881A3B">
              <w:rPr>
                <w:rFonts w:ascii="Century Gothic" w:hAnsi="Century Gothic"/>
                <w:noProof/>
                <w:sz w:val="22"/>
              </w:rPr>
              <w:drawing>
                <wp:inline distT="0" distB="0" distL="0" distR="0" wp14:anchorId="295C7656" wp14:editId="5B349742">
                  <wp:extent cx="1905000" cy="442595"/>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6258" cy="442887"/>
                          </a:xfrm>
                          <a:prstGeom prst="rect">
                            <a:avLst/>
                          </a:prstGeom>
                          <a:noFill/>
                        </pic:spPr>
                      </pic:pic>
                    </a:graphicData>
                  </a:graphic>
                </wp:inline>
              </w:drawing>
            </w:r>
          </w:p>
        </w:tc>
        <w:tc>
          <w:tcPr>
            <w:tcW w:w="2316" w:type="dxa"/>
            <w:tcBorders>
              <w:top w:val="single" w:sz="4" w:space="0" w:color="auto"/>
              <w:left w:val="single" w:sz="4" w:space="0" w:color="auto"/>
              <w:bottom w:val="single" w:sz="4" w:space="0" w:color="auto"/>
              <w:right w:val="nil"/>
            </w:tcBorders>
          </w:tcPr>
          <w:p w14:paraId="63936809" w14:textId="77777777" w:rsidR="007F46F1" w:rsidRPr="001E7901" w:rsidRDefault="007F46F1" w:rsidP="007F46F1">
            <w:pPr>
              <w:spacing w:before="40"/>
              <w:rPr>
                <w:rFonts w:ascii="Century Gothic" w:hAnsi="Century Gothic" w:cs="Arial"/>
                <w:sz w:val="20"/>
              </w:rPr>
            </w:pPr>
            <w:r w:rsidRPr="001E7901">
              <w:rPr>
                <w:rFonts w:ascii="Century Gothic" w:hAnsi="Century Gothic" w:cs="Arial"/>
                <w:sz w:val="20"/>
              </w:rPr>
              <w:t>Policy Subject:</w:t>
            </w:r>
            <w:r w:rsidRPr="001E7901">
              <w:rPr>
                <w:rFonts w:ascii="Century Gothic" w:hAnsi="Century Gothic" w:cs="Arial"/>
                <w:sz w:val="20"/>
              </w:rPr>
              <w:tab/>
            </w:r>
          </w:p>
        </w:tc>
        <w:tc>
          <w:tcPr>
            <w:tcW w:w="4068" w:type="dxa"/>
            <w:gridSpan w:val="2"/>
            <w:tcBorders>
              <w:top w:val="single" w:sz="4" w:space="0" w:color="auto"/>
              <w:left w:val="nil"/>
              <w:bottom w:val="single" w:sz="4" w:space="0" w:color="auto"/>
              <w:right w:val="single" w:sz="4" w:space="0" w:color="auto"/>
            </w:tcBorders>
          </w:tcPr>
          <w:p w14:paraId="290B1257" w14:textId="284B5C2A" w:rsidR="007F46F1" w:rsidRPr="001E7901" w:rsidRDefault="007F46F1" w:rsidP="007F46F1">
            <w:pPr>
              <w:spacing w:before="40"/>
              <w:rPr>
                <w:rFonts w:ascii="Century Gothic" w:hAnsi="Century Gothic" w:cs="Arial"/>
                <w:b/>
                <w:sz w:val="20"/>
              </w:rPr>
            </w:pPr>
            <w:r>
              <w:rPr>
                <w:rFonts w:ascii="Century Gothic" w:eastAsia="Arial" w:hAnsi="Century Gothic"/>
                <w:b/>
                <w:color w:val="050505"/>
                <w:sz w:val="20"/>
              </w:rPr>
              <w:t>Inclement Weather</w:t>
            </w:r>
            <w:r w:rsidRPr="001E7901">
              <w:rPr>
                <w:rFonts w:ascii="Century Gothic" w:hAnsi="Century Gothic" w:cs="Arial"/>
                <w:b/>
                <w:sz w:val="20"/>
              </w:rPr>
              <w:br/>
            </w:r>
          </w:p>
        </w:tc>
      </w:tr>
      <w:tr w:rsidR="007F46F1" w:rsidRPr="00C57515" w14:paraId="6A9BDDBB" w14:textId="77777777" w:rsidTr="007F46F1">
        <w:trPr>
          <w:cantSplit/>
        </w:trPr>
        <w:tc>
          <w:tcPr>
            <w:tcW w:w="3192" w:type="dxa"/>
            <w:vMerge/>
          </w:tcPr>
          <w:p w14:paraId="19FF9BF7" w14:textId="77777777" w:rsidR="007F46F1" w:rsidRDefault="007F46F1" w:rsidP="007F46F1"/>
        </w:tc>
        <w:tc>
          <w:tcPr>
            <w:tcW w:w="3936" w:type="dxa"/>
            <w:gridSpan w:val="2"/>
            <w:tcBorders>
              <w:top w:val="single" w:sz="4" w:space="0" w:color="auto"/>
            </w:tcBorders>
          </w:tcPr>
          <w:p w14:paraId="7E0F2200" w14:textId="77777777" w:rsidR="007F46F1" w:rsidRPr="001E7901" w:rsidRDefault="007F46F1" w:rsidP="007F46F1">
            <w:pPr>
              <w:spacing w:before="40"/>
              <w:rPr>
                <w:rFonts w:ascii="Century Gothic" w:hAnsi="Century Gothic" w:cs="Arial"/>
                <w:sz w:val="20"/>
              </w:rPr>
            </w:pPr>
            <w:r w:rsidRPr="001E7901">
              <w:rPr>
                <w:rFonts w:ascii="Century Gothic" w:hAnsi="Century Gothic" w:cs="Arial"/>
                <w:sz w:val="20"/>
              </w:rPr>
              <w:t>Manual Section:  Human Resources</w:t>
            </w:r>
            <w:r w:rsidRPr="001E7901">
              <w:rPr>
                <w:rFonts w:ascii="Century Gothic" w:hAnsi="Century Gothic" w:cs="Arial"/>
                <w:sz w:val="20"/>
              </w:rPr>
              <w:br/>
              <w:t xml:space="preserve">Number of Pages:  </w:t>
            </w:r>
            <w:r>
              <w:rPr>
                <w:rFonts w:ascii="Century Gothic" w:hAnsi="Century Gothic"/>
                <w:sz w:val="20"/>
              </w:rPr>
              <w:t>12</w:t>
            </w:r>
          </w:p>
        </w:tc>
        <w:tc>
          <w:tcPr>
            <w:tcW w:w="2448" w:type="dxa"/>
            <w:tcBorders>
              <w:top w:val="single" w:sz="4" w:space="0" w:color="auto"/>
            </w:tcBorders>
          </w:tcPr>
          <w:p w14:paraId="259860F3" w14:textId="77777777" w:rsidR="007F46F1" w:rsidRPr="001E7901" w:rsidRDefault="007F46F1" w:rsidP="007F46F1">
            <w:pPr>
              <w:spacing w:before="40"/>
              <w:rPr>
                <w:rFonts w:ascii="Century Gothic" w:hAnsi="Century Gothic" w:cs="Arial"/>
                <w:sz w:val="20"/>
              </w:rPr>
            </w:pPr>
            <w:r w:rsidRPr="001E7901">
              <w:rPr>
                <w:rFonts w:ascii="Century Gothic" w:hAnsi="Century Gothic" w:cs="Arial"/>
                <w:sz w:val="20"/>
              </w:rPr>
              <w:t>Policy Number:</w:t>
            </w:r>
          </w:p>
          <w:p w14:paraId="61CC02FF" w14:textId="5CD0D5CA" w:rsidR="007F46F1" w:rsidRPr="001E7901" w:rsidRDefault="007F46F1" w:rsidP="007F46F1">
            <w:pPr>
              <w:spacing w:before="40"/>
              <w:jc w:val="center"/>
              <w:rPr>
                <w:rFonts w:ascii="Century Gothic" w:hAnsi="Century Gothic" w:cs="Arial"/>
                <w:b/>
                <w:sz w:val="20"/>
              </w:rPr>
            </w:pPr>
            <w:r>
              <w:rPr>
                <w:rFonts w:ascii="Century Gothic" w:hAnsi="Century Gothic" w:cs="Arial"/>
                <w:b/>
                <w:sz w:val="20"/>
              </w:rPr>
              <w:t>129</w:t>
            </w:r>
          </w:p>
        </w:tc>
      </w:tr>
      <w:tr w:rsidR="007F46F1" w:rsidRPr="00C57515" w14:paraId="1C69FEB0" w14:textId="77777777" w:rsidTr="007F46F1">
        <w:trPr>
          <w:cantSplit/>
          <w:trHeight w:val="467"/>
        </w:trPr>
        <w:tc>
          <w:tcPr>
            <w:tcW w:w="3192" w:type="dxa"/>
            <w:vMerge/>
          </w:tcPr>
          <w:p w14:paraId="78963AC1" w14:textId="77777777" w:rsidR="007F46F1" w:rsidRDefault="007F46F1" w:rsidP="007F46F1"/>
        </w:tc>
        <w:tc>
          <w:tcPr>
            <w:tcW w:w="3936" w:type="dxa"/>
            <w:gridSpan w:val="2"/>
          </w:tcPr>
          <w:p w14:paraId="3658E690" w14:textId="77777777" w:rsidR="007F46F1" w:rsidRPr="001E7901" w:rsidRDefault="007F46F1" w:rsidP="007F46F1">
            <w:pPr>
              <w:spacing w:before="40"/>
              <w:rPr>
                <w:rFonts w:ascii="Century Gothic" w:hAnsi="Century Gothic" w:cs="Arial"/>
                <w:sz w:val="20"/>
              </w:rPr>
            </w:pPr>
            <w:r w:rsidRPr="001E7901">
              <w:rPr>
                <w:rFonts w:ascii="Century Gothic" w:hAnsi="Century Gothic" w:cs="Arial"/>
                <w:sz w:val="20"/>
              </w:rPr>
              <w:t>Originating Unit:  Human Resources</w:t>
            </w:r>
          </w:p>
        </w:tc>
        <w:tc>
          <w:tcPr>
            <w:tcW w:w="2448" w:type="dxa"/>
          </w:tcPr>
          <w:p w14:paraId="0B92043F" w14:textId="77777777" w:rsidR="007F46F1" w:rsidRPr="001E7901" w:rsidRDefault="007F46F1" w:rsidP="007F46F1">
            <w:pPr>
              <w:spacing w:before="40"/>
              <w:rPr>
                <w:rFonts w:ascii="Century Gothic" w:hAnsi="Century Gothic" w:cs="Arial"/>
                <w:sz w:val="20"/>
              </w:rPr>
            </w:pPr>
            <w:r w:rsidRPr="001E7901">
              <w:rPr>
                <w:rFonts w:ascii="Century Gothic" w:hAnsi="Century Gothic" w:cs="Arial"/>
                <w:sz w:val="20"/>
              </w:rPr>
              <w:t>Effective Date:</w:t>
            </w:r>
          </w:p>
          <w:p w14:paraId="7BB9A7DF" w14:textId="7D9240B0" w:rsidR="007F46F1" w:rsidRPr="001E7901" w:rsidRDefault="007F46F1" w:rsidP="007F46F1">
            <w:pPr>
              <w:spacing w:before="40"/>
              <w:jc w:val="center"/>
              <w:rPr>
                <w:rFonts w:ascii="Century Gothic" w:hAnsi="Century Gothic" w:cs="Arial"/>
                <w:sz w:val="20"/>
              </w:rPr>
            </w:pPr>
            <w:r>
              <w:rPr>
                <w:rFonts w:ascii="Century Gothic" w:hAnsi="Century Gothic" w:cs="Arial"/>
                <w:sz w:val="20"/>
              </w:rPr>
              <w:t xml:space="preserve">Rev </w:t>
            </w:r>
            <w:r w:rsidR="00EA3B6A">
              <w:rPr>
                <w:rFonts w:ascii="Century Gothic" w:hAnsi="Century Gothic" w:cs="Arial"/>
                <w:sz w:val="20"/>
              </w:rPr>
              <w:t>1</w:t>
            </w:r>
            <w:r w:rsidR="00E03103">
              <w:rPr>
                <w:rFonts w:ascii="Century Gothic" w:hAnsi="Century Gothic" w:cs="Arial"/>
                <w:sz w:val="20"/>
              </w:rPr>
              <w:t>1</w:t>
            </w:r>
            <w:r w:rsidR="00EA3B6A">
              <w:rPr>
                <w:rFonts w:ascii="Century Gothic" w:hAnsi="Century Gothic" w:cs="Arial"/>
                <w:sz w:val="20"/>
              </w:rPr>
              <w:t>/</w:t>
            </w:r>
            <w:r w:rsidR="00E03103">
              <w:rPr>
                <w:rFonts w:ascii="Century Gothic" w:hAnsi="Century Gothic" w:cs="Arial"/>
                <w:sz w:val="20"/>
              </w:rPr>
              <w:t>16</w:t>
            </w:r>
            <w:r w:rsidR="00EA3B6A">
              <w:rPr>
                <w:rFonts w:ascii="Century Gothic" w:hAnsi="Century Gothic" w:cs="Arial"/>
                <w:sz w:val="20"/>
              </w:rPr>
              <w:t>/2022</w:t>
            </w:r>
          </w:p>
        </w:tc>
      </w:tr>
    </w:tbl>
    <w:p w14:paraId="3689E487" w14:textId="77777777" w:rsidR="00652715" w:rsidRDefault="00652715" w:rsidP="00652715">
      <w:pPr>
        <w:tabs>
          <w:tab w:val="left" w:pos="-720"/>
        </w:tabs>
        <w:suppressAutoHyphens/>
        <w:rPr>
          <w:sz w:val="22"/>
        </w:rPr>
      </w:pPr>
    </w:p>
    <w:p w14:paraId="514F61B0" w14:textId="77777777" w:rsidR="00652715" w:rsidRDefault="00652715" w:rsidP="00652715">
      <w:pPr>
        <w:tabs>
          <w:tab w:val="left" w:pos="-720"/>
        </w:tabs>
        <w:suppressAutoHyphens/>
        <w:rPr>
          <w:sz w:val="22"/>
        </w:rPr>
      </w:pPr>
    </w:p>
    <w:p w14:paraId="233DD674" w14:textId="77777777" w:rsidR="00933DA8" w:rsidRDefault="00933DA8" w:rsidP="00652715">
      <w:pPr>
        <w:rPr>
          <w:sz w:val="22"/>
          <w:szCs w:val="22"/>
        </w:rPr>
      </w:pPr>
      <w:proofErr w:type="spellStart"/>
      <w:r>
        <w:rPr>
          <w:sz w:val="22"/>
          <w:szCs w:val="22"/>
        </w:rPr>
        <w:t>CareLink</w:t>
      </w:r>
      <w:proofErr w:type="spellEnd"/>
      <w:r>
        <w:rPr>
          <w:sz w:val="22"/>
          <w:szCs w:val="22"/>
        </w:rPr>
        <w:t xml:space="preserve"> expects its employees to use sound judgment on determining if they should attempt to go to work during inclement weather. </w:t>
      </w:r>
    </w:p>
    <w:p w14:paraId="6DAECD09" w14:textId="77777777" w:rsidR="00933DA8" w:rsidRDefault="00933DA8" w:rsidP="00652715">
      <w:pPr>
        <w:rPr>
          <w:sz w:val="22"/>
          <w:szCs w:val="22"/>
        </w:rPr>
      </w:pPr>
    </w:p>
    <w:p w14:paraId="6CDDB732" w14:textId="0D3D16AA" w:rsidR="00933DA8" w:rsidRDefault="00933DA8" w:rsidP="00652715">
      <w:pPr>
        <w:rPr>
          <w:sz w:val="22"/>
          <w:szCs w:val="22"/>
        </w:rPr>
      </w:pPr>
      <w:proofErr w:type="spellStart"/>
      <w:r>
        <w:rPr>
          <w:sz w:val="22"/>
          <w:szCs w:val="22"/>
        </w:rPr>
        <w:t>CareLink</w:t>
      </w:r>
      <w:proofErr w:type="spellEnd"/>
      <w:r>
        <w:rPr>
          <w:sz w:val="22"/>
          <w:szCs w:val="22"/>
        </w:rPr>
        <w:t xml:space="preserve"> does not anticipate closing its facilities due to inclement weather. Under hazardous travel conditions, should it not be possible for an employee to report to work as scheduled notification should be made to her/his immediate supervisor at least one hour prior to the beginning of her/his workday. </w:t>
      </w:r>
    </w:p>
    <w:p w14:paraId="7B9B2815" w14:textId="0A5DB3E7" w:rsidR="00933DA8" w:rsidRDefault="00933DA8" w:rsidP="00652715">
      <w:pPr>
        <w:rPr>
          <w:sz w:val="22"/>
          <w:szCs w:val="22"/>
        </w:rPr>
      </w:pPr>
    </w:p>
    <w:p w14:paraId="11BAB1E6" w14:textId="00F8AED1" w:rsidR="00652715" w:rsidRPr="00933DA8" w:rsidRDefault="00933DA8" w:rsidP="00652715">
      <w:pPr>
        <w:rPr>
          <w:sz w:val="22"/>
          <w:szCs w:val="22"/>
        </w:rPr>
      </w:pPr>
      <w:r>
        <w:rPr>
          <w:sz w:val="22"/>
          <w:szCs w:val="22"/>
        </w:rPr>
        <w:t>Regular Full Time and Regular Part Time employees will be charged Annual Leave. If in an approved position, employee may request to telework from home. Should road conditions improve, employees are expected to report to work for the balance of the day.</w:t>
      </w:r>
    </w:p>
    <w:p w14:paraId="42478930" w14:textId="77777777" w:rsidR="00652715" w:rsidRDefault="00652715" w:rsidP="00652715">
      <w:pPr>
        <w:rPr>
          <w:sz w:val="22"/>
        </w:rPr>
      </w:pPr>
    </w:p>
    <w:p w14:paraId="7E846C1D" w14:textId="334543B5" w:rsidR="00652715" w:rsidRDefault="00652715" w:rsidP="00652715">
      <w:pPr>
        <w:tabs>
          <w:tab w:val="left" w:pos="-720"/>
        </w:tabs>
        <w:suppressAutoHyphens/>
        <w:rPr>
          <w:sz w:val="22"/>
        </w:rPr>
      </w:pPr>
    </w:p>
    <w:p w14:paraId="39349231" w14:textId="77777777" w:rsidR="00652715" w:rsidRDefault="00652715" w:rsidP="00652715">
      <w:pPr>
        <w:tabs>
          <w:tab w:val="left" w:pos="-720"/>
        </w:tabs>
        <w:suppressAutoHyphens/>
        <w:rPr>
          <w:sz w:val="22"/>
        </w:rPr>
      </w:pPr>
    </w:p>
    <w:p w14:paraId="7D7B5C74" w14:textId="77777777" w:rsidR="00754CE3" w:rsidRDefault="00E03103"/>
    <w:sectPr w:rsidR="00754CE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99DB6" w14:textId="77777777" w:rsidR="00652715" w:rsidRDefault="00652715" w:rsidP="00652715">
      <w:r>
        <w:separator/>
      </w:r>
    </w:p>
  </w:endnote>
  <w:endnote w:type="continuationSeparator" w:id="0">
    <w:p w14:paraId="32E2BE1A" w14:textId="77777777" w:rsidR="00652715" w:rsidRDefault="00652715" w:rsidP="00652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E491F" w14:textId="77777777" w:rsidR="00652715" w:rsidRDefault="00652715">
    <w:pPr>
      <w:tabs>
        <w:tab w:val="center" w:pos="4550"/>
        <w:tab w:val="left" w:pos="5818"/>
      </w:tabs>
      <w:ind w:right="260"/>
      <w:jc w:val="right"/>
      <w:rPr>
        <w:color w:val="222A35" w:themeColor="text2" w:themeShade="80"/>
        <w:szCs w:val="24"/>
      </w:rPr>
    </w:pPr>
    <w:r>
      <w:rPr>
        <w:color w:val="8496B0" w:themeColor="text2" w:themeTint="99"/>
        <w:spacing w:val="60"/>
        <w:szCs w:val="24"/>
      </w:rPr>
      <w:t>Page</w:t>
    </w:r>
    <w:r>
      <w:rPr>
        <w:color w:val="8496B0" w:themeColor="text2" w:themeTint="99"/>
        <w:szCs w:val="24"/>
      </w:rPr>
      <w:t xml:space="preserve"> </w:t>
    </w:r>
    <w:r>
      <w:rPr>
        <w:color w:val="323E4F" w:themeColor="text2" w:themeShade="BF"/>
        <w:szCs w:val="24"/>
      </w:rPr>
      <w:fldChar w:fldCharType="begin"/>
    </w:r>
    <w:r>
      <w:rPr>
        <w:color w:val="323E4F" w:themeColor="text2" w:themeShade="BF"/>
        <w:szCs w:val="24"/>
      </w:rPr>
      <w:instrText xml:space="preserve"> PAGE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r>
      <w:rPr>
        <w:color w:val="323E4F" w:themeColor="text2" w:themeShade="BF"/>
        <w:szCs w:val="24"/>
      </w:rPr>
      <w:t xml:space="preserve"> | </w:t>
    </w:r>
    <w:r>
      <w:rPr>
        <w:color w:val="323E4F" w:themeColor="text2" w:themeShade="BF"/>
        <w:szCs w:val="24"/>
      </w:rPr>
      <w:fldChar w:fldCharType="begin"/>
    </w:r>
    <w:r>
      <w:rPr>
        <w:color w:val="323E4F" w:themeColor="text2" w:themeShade="BF"/>
        <w:szCs w:val="24"/>
      </w:rPr>
      <w:instrText xml:space="preserve"> NUMPAGES  \* Arabic  \* MERGEFORMAT </w:instrText>
    </w:r>
    <w:r>
      <w:rPr>
        <w:color w:val="323E4F" w:themeColor="text2" w:themeShade="BF"/>
        <w:szCs w:val="24"/>
      </w:rPr>
      <w:fldChar w:fldCharType="separate"/>
    </w:r>
    <w:r>
      <w:rPr>
        <w:noProof/>
        <w:color w:val="323E4F" w:themeColor="text2" w:themeShade="BF"/>
        <w:szCs w:val="24"/>
      </w:rPr>
      <w:t>1</w:t>
    </w:r>
    <w:r>
      <w:rPr>
        <w:color w:val="323E4F" w:themeColor="text2" w:themeShade="BF"/>
        <w:szCs w:val="24"/>
      </w:rPr>
      <w:fldChar w:fldCharType="end"/>
    </w:r>
  </w:p>
  <w:p w14:paraId="22E4D715" w14:textId="77777777" w:rsidR="00652715" w:rsidRDefault="00652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C1A05" w14:textId="77777777" w:rsidR="00652715" w:rsidRDefault="00652715" w:rsidP="00652715">
      <w:r>
        <w:separator/>
      </w:r>
    </w:p>
  </w:footnote>
  <w:footnote w:type="continuationSeparator" w:id="0">
    <w:p w14:paraId="120C26C5" w14:textId="77777777" w:rsidR="00652715" w:rsidRDefault="00652715" w:rsidP="00652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715"/>
    <w:rsid w:val="002B7D88"/>
    <w:rsid w:val="00652715"/>
    <w:rsid w:val="007C609B"/>
    <w:rsid w:val="007F46F1"/>
    <w:rsid w:val="008E75AC"/>
    <w:rsid w:val="00933DA8"/>
    <w:rsid w:val="00C56EAA"/>
    <w:rsid w:val="00E03103"/>
    <w:rsid w:val="00EA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2EBD"/>
  <w15:chartTrackingRefBased/>
  <w15:docId w15:val="{6C41A4F0-8102-4E04-B3C5-54B87D00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715"/>
    <w:rPr>
      <w:rFonts w:ascii="Arial" w:eastAsia="Times New Roman" w:hAnsi="Arial" w:cs="Times New Roman"/>
      <w:szCs w:val="20"/>
    </w:rPr>
  </w:style>
  <w:style w:type="paragraph" w:styleId="Heading1">
    <w:name w:val="heading 1"/>
    <w:basedOn w:val="Normal"/>
    <w:next w:val="Normal"/>
    <w:link w:val="Heading1Char"/>
    <w:qFormat/>
    <w:rsid w:val="00652715"/>
    <w:pPr>
      <w:keepNext/>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2715"/>
    <w:rPr>
      <w:rFonts w:ascii="Arial" w:eastAsia="Times New Roman" w:hAnsi="Arial" w:cs="Times New Roman"/>
      <w:b/>
      <w:sz w:val="22"/>
      <w:szCs w:val="20"/>
    </w:rPr>
  </w:style>
  <w:style w:type="paragraph" w:styleId="Header">
    <w:name w:val="header"/>
    <w:basedOn w:val="Normal"/>
    <w:link w:val="HeaderChar"/>
    <w:uiPriority w:val="99"/>
    <w:unhideWhenUsed/>
    <w:rsid w:val="00652715"/>
    <w:pPr>
      <w:tabs>
        <w:tab w:val="center" w:pos="4680"/>
        <w:tab w:val="right" w:pos="9360"/>
      </w:tabs>
    </w:pPr>
  </w:style>
  <w:style w:type="character" w:customStyle="1" w:styleId="HeaderChar">
    <w:name w:val="Header Char"/>
    <w:basedOn w:val="DefaultParagraphFont"/>
    <w:link w:val="Header"/>
    <w:uiPriority w:val="99"/>
    <w:rsid w:val="00652715"/>
    <w:rPr>
      <w:rFonts w:ascii="Arial" w:eastAsia="Times New Roman" w:hAnsi="Arial" w:cs="Times New Roman"/>
      <w:szCs w:val="20"/>
    </w:rPr>
  </w:style>
  <w:style w:type="paragraph" w:styleId="Footer">
    <w:name w:val="footer"/>
    <w:basedOn w:val="Normal"/>
    <w:link w:val="FooterChar"/>
    <w:uiPriority w:val="99"/>
    <w:unhideWhenUsed/>
    <w:rsid w:val="00652715"/>
    <w:pPr>
      <w:tabs>
        <w:tab w:val="center" w:pos="4680"/>
        <w:tab w:val="right" w:pos="9360"/>
      </w:tabs>
    </w:pPr>
  </w:style>
  <w:style w:type="character" w:customStyle="1" w:styleId="FooterChar">
    <w:name w:val="Footer Char"/>
    <w:basedOn w:val="DefaultParagraphFont"/>
    <w:link w:val="Footer"/>
    <w:uiPriority w:val="99"/>
    <w:rsid w:val="00652715"/>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Mattingly</dc:creator>
  <cp:keywords/>
  <dc:description/>
  <cp:lastModifiedBy>Natasha Kendrick</cp:lastModifiedBy>
  <cp:revision>5</cp:revision>
  <dcterms:created xsi:type="dcterms:W3CDTF">2022-10-05T16:59:00Z</dcterms:created>
  <dcterms:modified xsi:type="dcterms:W3CDTF">2022-10-28T13:27:00Z</dcterms:modified>
</cp:coreProperties>
</file>